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5" w:rsidRDefault="00135835" w:rsidP="00135835">
      <w:pPr>
        <w:shd w:val="clear" w:color="auto" w:fill="FABF8F" w:themeFill="accent6" w:themeFillTint="99"/>
        <w:tabs>
          <w:tab w:val="left" w:pos="284"/>
        </w:tabs>
        <w:ind w:left="-567" w:right="-567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Les </w:t>
      </w:r>
      <w:r w:rsidR="00CB1DDB">
        <w:rPr>
          <w:rFonts w:ascii="Arial" w:hAnsi="Arial" w:cs="Arial"/>
          <w:b/>
          <w:smallCaps/>
          <w:sz w:val="20"/>
        </w:rPr>
        <w:t>règles</w:t>
      </w:r>
      <w:r>
        <w:rPr>
          <w:rFonts w:ascii="Arial" w:hAnsi="Arial" w:cs="Arial"/>
          <w:b/>
          <w:smallCaps/>
          <w:sz w:val="20"/>
        </w:rPr>
        <w:t xml:space="preserve"> de classement</w:t>
      </w:r>
    </w:p>
    <w:p w:rsidR="00135835" w:rsidRPr="008E41F5" w:rsidRDefault="00135835" w:rsidP="00135835">
      <w:pPr>
        <w:shd w:val="clear" w:color="auto" w:fill="FABF8F" w:themeFill="accent6" w:themeFillTint="99"/>
        <w:tabs>
          <w:tab w:val="left" w:pos="284"/>
        </w:tabs>
        <w:ind w:left="-567" w:right="-567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Dispositif de titularisation (articles 13 a 20 de la loi 2012-347 du 12/03/2012</w:t>
      </w:r>
      <w:r w:rsidR="00CB1DDB">
        <w:rPr>
          <w:rFonts w:ascii="Arial" w:hAnsi="Arial" w:cs="Arial"/>
          <w:b/>
          <w:smallCaps/>
          <w:sz w:val="20"/>
        </w:rPr>
        <w:t>)</w:t>
      </w:r>
    </w:p>
    <w:p w:rsidR="00135835" w:rsidRPr="002108B5" w:rsidRDefault="00CB1DDB" w:rsidP="00CB1DDB">
      <w:pPr>
        <w:tabs>
          <w:tab w:val="left" w:pos="284"/>
          <w:tab w:val="left" w:pos="8340"/>
        </w:tabs>
        <w:ind w:left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135835" w:rsidRPr="00E51CF3" w:rsidRDefault="00135835" w:rsidP="00135835">
      <w:pPr>
        <w:shd w:val="clear" w:color="auto" w:fill="B8CCE4" w:themeFill="accent1" w:themeFillTint="66"/>
        <w:tabs>
          <w:tab w:val="left" w:pos="709"/>
        </w:tabs>
        <w:ind w:left="-567" w:right="-567"/>
        <w:jc w:val="center"/>
        <w:rPr>
          <w:rFonts w:ascii="Arial" w:hAnsi="Arial" w:cs="Arial"/>
          <w:b/>
          <w:smallCaps/>
          <w:sz w:val="20"/>
        </w:rPr>
      </w:pPr>
      <w:r w:rsidRPr="00E51CF3">
        <w:rPr>
          <w:rFonts w:ascii="Arial" w:hAnsi="Arial" w:cs="Arial"/>
          <w:b/>
          <w:smallCaps/>
          <w:sz w:val="20"/>
        </w:rPr>
        <w:t>Classement lors de la nomination dans un grade de catégorie A</w:t>
      </w:r>
    </w:p>
    <w:p w:rsidR="00135835" w:rsidRPr="002108B5" w:rsidRDefault="00135835" w:rsidP="00135835">
      <w:pPr>
        <w:tabs>
          <w:tab w:val="left" w:pos="709"/>
        </w:tabs>
        <w:ind w:left="-567" w:right="-567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10138" w:type="dxa"/>
        <w:jc w:val="center"/>
        <w:tblInd w:w="442" w:type="dxa"/>
        <w:tblLook w:val="04A0"/>
      </w:tblPr>
      <w:tblGrid>
        <w:gridCol w:w="10138"/>
      </w:tblGrid>
      <w:tr w:rsidR="00135835" w:rsidRPr="00980AA7" w:rsidTr="00A21A57">
        <w:trPr>
          <w:jc w:val="center"/>
        </w:trPr>
        <w:tc>
          <w:tcPr>
            <w:tcW w:w="10138" w:type="dxa"/>
            <w:shd w:val="clear" w:color="auto" w:fill="DAFFFF"/>
          </w:tcPr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AA7">
              <w:rPr>
                <w:rFonts w:ascii="Arial Narrow" w:hAnsi="Arial Narrow" w:cs="Arial"/>
                <w:b/>
                <w:sz w:val="20"/>
              </w:rPr>
              <w:t>Reprise des services publics</w:t>
            </w:r>
          </w:p>
        </w:tc>
      </w:tr>
      <w:tr w:rsidR="00135835" w:rsidTr="00A21A57">
        <w:trPr>
          <w:jc w:val="center"/>
        </w:trPr>
        <w:tc>
          <w:tcPr>
            <w:tcW w:w="10138" w:type="dxa"/>
          </w:tcPr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Prise en compte des services accomplis (article 7 décret 2006-1695) :</w:t>
            </w:r>
          </w:p>
          <w:p w:rsidR="00135835" w:rsidRPr="00980AA7" w:rsidRDefault="00135835" w:rsidP="00135835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dans un emploi de niveau au moins équivalent à celui de la catégorie A</w:t>
            </w:r>
          </w:p>
          <w:p w:rsidR="00135835" w:rsidRPr="00980AA7" w:rsidRDefault="00B23D34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_x0000_s1026" style="position:absolute;left:0;text-align:left;margin-left:386.15pt;margin-top:7.3pt;width:114pt;height:49.5pt;z-index:251660288">
                  <v:textbox style="mso-next-textbox:#_x0000_s1026">
                    <w:txbxContent>
                      <w:p w:rsidR="00135835" w:rsidRPr="002A67F4" w:rsidRDefault="00135835" w:rsidP="00135835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A67F4">
                          <w:rPr>
                            <w:sz w:val="18"/>
                            <w:szCs w:val="18"/>
                          </w:rPr>
                          <w:t>Proratisation</w:t>
                        </w:r>
                        <w:proofErr w:type="spellEnd"/>
                        <w:r w:rsidRPr="002A67F4">
                          <w:rPr>
                            <w:sz w:val="18"/>
                            <w:szCs w:val="18"/>
                          </w:rPr>
                          <w:t xml:space="preserve"> par rapport à 35 heures si les services effectués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sont inférieurs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au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mi-temps.</w:t>
                        </w:r>
                      </w:p>
                    </w:txbxContent>
                  </v:textbox>
                </v:rect>
              </w:pict>
            </w:r>
            <w:r w:rsidR="00135835" w:rsidRPr="00980AA7">
              <w:rPr>
                <w:rFonts w:ascii="Arial Narrow" w:hAnsi="Arial Narrow" w:cs="Arial"/>
                <w:sz w:val="20"/>
              </w:rPr>
              <w:t>à raison de la moitié jusqu’à 12 ans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 xml:space="preserve">à raison des trois quarts de leur durée au-delà de 12 ans </w:t>
            </w:r>
          </w:p>
          <w:p w:rsidR="00135835" w:rsidRPr="00980AA7" w:rsidRDefault="00135835" w:rsidP="00135835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dans des fonctions du niveau de la catégorie B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rien pour les 7 premières années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6/16</w:t>
            </w:r>
            <w:r w:rsidRPr="00980AA7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Pr="00980AA7">
              <w:rPr>
                <w:rFonts w:ascii="Arial Narrow" w:hAnsi="Arial Narrow" w:cs="Arial"/>
                <w:sz w:val="20"/>
              </w:rPr>
              <w:t xml:space="preserve"> pour la fraction entre 7 et 16 ans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9/16 pour l’ancienneté excédant 16 ans</w:t>
            </w:r>
          </w:p>
          <w:p w:rsidR="00135835" w:rsidRPr="00980AA7" w:rsidRDefault="00135835" w:rsidP="00135835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dans les fonctions du niveau de la catégorie C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6/16 pour leur durée excédant 10 ans</w:t>
            </w:r>
          </w:p>
        </w:tc>
      </w:tr>
      <w:tr w:rsidR="00135835" w:rsidRPr="002A67F4" w:rsidTr="00A21A57">
        <w:trPr>
          <w:jc w:val="center"/>
        </w:trPr>
        <w:tc>
          <w:tcPr>
            <w:tcW w:w="10138" w:type="dxa"/>
            <w:shd w:val="clear" w:color="auto" w:fill="DAFFFF"/>
          </w:tcPr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AA7">
              <w:rPr>
                <w:rFonts w:ascii="Arial Narrow" w:hAnsi="Arial Narrow" w:cs="Arial"/>
                <w:b/>
                <w:sz w:val="20"/>
              </w:rPr>
              <w:t>Conservation de la rémunération antérieure</w:t>
            </w:r>
          </w:p>
        </w:tc>
      </w:tr>
      <w:tr w:rsidR="00135835" w:rsidTr="00A21A57">
        <w:trPr>
          <w:jc w:val="center"/>
        </w:trPr>
        <w:tc>
          <w:tcPr>
            <w:tcW w:w="10138" w:type="dxa"/>
          </w:tcPr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Si la rémunération antérieure est plus avantageuse que le traitement indiciaire déterminé à l’issue du classement (</w:t>
            </w:r>
            <w:proofErr w:type="spellStart"/>
            <w:r w:rsidRPr="00980AA7">
              <w:rPr>
                <w:rFonts w:ascii="Arial Narrow" w:hAnsi="Arial Narrow" w:cs="Arial"/>
                <w:sz w:val="20"/>
              </w:rPr>
              <w:t>cf</w:t>
            </w:r>
            <w:proofErr w:type="spellEnd"/>
            <w:r w:rsidRPr="00980AA7">
              <w:rPr>
                <w:rFonts w:ascii="Arial Narrow" w:hAnsi="Arial Narrow" w:cs="Arial"/>
                <w:sz w:val="20"/>
              </w:rPr>
              <w:t xml:space="preserve"> ci-dessus), possibilité de calculer un IM le plus proche de 70 % de la rémunération mensuelle antérieure dans la limite du traitement afférent au dernier échelon du grade de nomination.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La rémunération antérieure à prendre en compté est la rémunération mensuelle c'est-à-dire la moyenne des 6 meilleures rémunérations mensuelles perçues par l’agent dans son dernier emploi au cours des 12 mois précédant la nomination.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z w:val="20"/>
                <w:u w:val="single"/>
              </w:rPr>
            </w:pP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i/>
                <w:sz w:val="20"/>
                <w:u w:val="single"/>
              </w:rPr>
              <w:t>NB</w:t>
            </w:r>
            <w:r w:rsidRPr="00980AA7">
              <w:rPr>
                <w:rFonts w:ascii="Arial Narrow" w:hAnsi="Arial Narrow" w:cs="Arial"/>
                <w:i/>
                <w:sz w:val="20"/>
              </w:rPr>
              <w:t> : la rémunération antérieure comprend le traitement de base + les primes. En sont exclus les éléments accessoires liés à la situation familiale (SFT), au lieu de travail (indemnité de résidence) ou aux frais de transport.</w:t>
            </w:r>
          </w:p>
        </w:tc>
      </w:tr>
    </w:tbl>
    <w:p w:rsidR="00135835" w:rsidRPr="002108B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Pr="00E51CF3" w:rsidRDefault="00135835" w:rsidP="00135835">
      <w:pPr>
        <w:shd w:val="clear" w:color="auto" w:fill="B8CCE4" w:themeFill="accent1" w:themeFillTint="66"/>
        <w:tabs>
          <w:tab w:val="left" w:pos="567"/>
        </w:tabs>
        <w:ind w:left="-567" w:right="-426"/>
        <w:jc w:val="center"/>
        <w:rPr>
          <w:rFonts w:ascii="Arial" w:hAnsi="Arial" w:cs="Arial"/>
          <w:b/>
          <w:smallCaps/>
          <w:sz w:val="20"/>
        </w:rPr>
      </w:pPr>
      <w:r w:rsidRPr="00E51CF3">
        <w:rPr>
          <w:rFonts w:ascii="Arial" w:hAnsi="Arial" w:cs="Arial"/>
          <w:b/>
          <w:smallCaps/>
          <w:sz w:val="20"/>
        </w:rPr>
        <w:t xml:space="preserve">Classement lors de la nomination dans un grade de catégorie </w:t>
      </w:r>
      <w:r>
        <w:rPr>
          <w:rFonts w:ascii="Arial" w:hAnsi="Arial" w:cs="Arial"/>
          <w:b/>
          <w:smallCaps/>
          <w:sz w:val="20"/>
        </w:rPr>
        <w:t>B</w:t>
      </w:r>
    </w:p>
    <w:p w:rsidR="00135835" w:rsidRPr="009C617B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10092" w:type="dxa"/>
        <w:jc w:val="center"/>
        <w:tblInd w:w="-459" w:type="dxa"/>
        <w:tblLook w:val="04A0"/>
      </w:tblPr>
      <w:tblGrid>
        <w:gridCol w:w="2495"/>
        <w:gridCol w:w="7597"/>
      </w:tblGrid>
      <w:tr w:rsidR="00135835" w:rsidRPr="002108B5" w:rsidTr="00135835">
        <w:trPr>
          <w:jc w:val="center"/>
        </w:trPr>
        <w:tc>
          <w:tcPr>
            <w:tcW w:w="10092" w:type="dxa"/>
            <w:gridSpan w:val="2"/>
            <w:shd w:val="clear" w:color="auto" w:fill="DAFFFF"/>
          </w:tcPr>
          <w:p w:rsidR="00135835" w:rsidRPr="002108B5" w:rsidRDefault="00135835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108B5">
              <w:rPr>
                <w:rFonts w:ascii="Arial Narrow" w:hAnsi="Arial Narrow" w:cs="Arial"/>
                <w:b/>
                <w:sz w:val="20"/>
              </w:rPr>
              <w:t>Reprise des services publics</w:t>
            </w:r>
          </w:p>
        </w:tc>
      </w:tr>
      <w:tr w:rsidR="00135835" w:rsidTr="00135835">
        <w:trPr>
          <w:jc w:val="center"/>
        </w:trPr>
        <w:tc>
          <w:tcPr>
            <w:tcW w:w="2495" w:type="dxa"/>
            <w:vAlign w:val="center"/>
          </w:tcPr>
          <w:p w:rsidR="00135835" w:rsidRPr="00980AA7" w:rsidRDefault="00135835" w:rsidP="00A21A57">
            <w:pPr>
              <w:tabs>
                <w:tab w:val="left" w:pos="284"/>
              </w:tabs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1</w:t>
            </w:r>
            <w:r w:rsidRPr="00980AA7">
              <w:rPr>
                <w:rFonts w:ascii="Arial Narrow" w:hAnsi="Arial Narrow" w:cs="Arial"/>
                <w:sz w:val="20"/>
                <w:vertAlign w:val="superscript"/>
              </w:rPr>
              <w:t>er</w:t>
            </w:r>
            <w:r w:rsidRPr="00980AA7">
              <w:rPr>
                <w:rFonts w:ascii="Arial Narrow" w:hAnsi="Arial Narrow" w:cs="Arial"/>
                <w:sz w:val="20"/>
              </w:rPr>
              <w:t xml:space="preserve"> grade de base de la catégorie B</w:t>
            </w:r>
          </w:p>
          <w:p w:rsidR="00135835" w:rsidRPr="00980AA7" w:rsidRDefault="00135835" w:rsidP="00A21A57">
            <w:pPr>
              <w:tabs>
                <w:tab w:val="left" w:pos="284"/>
              </w:tabs>
              <w:rPr>
                <w:rFonts w:ascii="Arial Narrow" w:hAnsi="Arial Narrow" w:cs="Arial"/>
                <w:sz w:val="20"/>
              </w:rPr>
            </w:pPr>
            <w:r w:rsidRPr="00980AA7">
              <w:rPr>
                <w:rFonts w:ascii="Arial Narrow" w:hAnsi="Arial Narrow" w:cs="Arial"/>
                <w:sz w:val="20"/>
              </w:rPr>
              <w:t>(technicien, rédacteur, …)</w:t>
            </w:r>
          </w:p>
        </w:tc>
        <w:tc>
          <w:tcPr>
            <w:tcW w:w="7597" w:type="dxa"/>
          </w:tcPr>
          <w:p w:rsidR="00135835" w:rsidRDefault="00B23D34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_x0000_s1027" style="position:absolute;left:0;text-align:left;margin-left:258.35pt;margin-top:4.9pt;width:114pt;height:49.5pt;z-index:251661312;mso-position-horizontal-relative:text;mso-position-vertical-relative:text">
                  <v:textbox style="mso-next-textbox:#_x0000_s1027">
                    <w:txbxContent>
                      <w:p w:rsidR="00135835" w:rsidRPr="002A67F4" w:rsidRDefault="00135835" w:rsidP="00135835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A67F4">
                          <w:rPr>
                            <w:sz w:val="18"/>
                            <w:szCs w:val="18"/>
                          </w:rPr>
                          <w:t>Proratisation</w:t>
                        </w:r>
                        <w:proofErr w:type="spellEnd"/>
                        <w:r w:rsidRPr="002A67F4">
                          <w:rPr>
                            <w:sz w:val="18"/>
                            <w:szCs w:val="18"/>
                          </w:rPr>
                          <w:t xml:space="preserve"> par rapport à 35 heures si les services effectués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sont inférieurs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au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mi-temps.</w:t>
                        </w:r>
                      </w:p>
                    </w:txbxContent>
                  </v:textbox>
                </v:rect>
              </w:pict>
            </w:r>
            <w:r w:rsidR="00135835">
              <w:rPr>
                <w:rFonts w:ascii="Arial Narrow" w:hAnsi="Arial Narrow" w:cs="Arial"/>
                <w:sz w:val="20"/>
              </w:rPr>
              <w:t>Prise en compte des services accomplis (article 14 décret 2010-329)</w:t>
            </w:r>
          </w:p>
          <w:p w:rsidR="00135835" w:rsidRDefault="00135835" w:rsidP="00135835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ind w:left="33" w:firstLine="22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dans un emploi de niveau au moins équivalent à celui de la 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55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catégorie B à raison des trois quarts de leur durée </w:t>
            </w:r>
          </w:p>
          <w:p w:rsidR="00135835" w:rsidRDefault="00135835" w:rsidP="00135835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ind w:left="33" w:firstLine="22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et ceux accomplis dans un emploi de niveau inférieur à raison </w:t>
            </w: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55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 la moitié de leur durée.</w:t>
            </w:r>
          </w:p>
        </w:tc>
      </w:tr>
      <w:tr w:rsidR="00135835" w:rsidTr="00135835">
        <w:trPr>
          <w:jc w:val="center"/>
        </w:trPr>
        <w:tc>
          <w:tcPr>
            <w:tcW w:w="2495" w:type="dxa"/>
            <w:vAlign w:val="center"/>
          </w:tcPr>
          <w:p w:rsidR="00135835" w:rsidRPr="00980AA7" w:rsidRDefault="00135835" w:rsidP="00A21A57">
            <w:pPr>
              <w:tabs>
                <w:tab w:val="left" w:pos="284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980AA7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>
              <w:rPr>
                <w:rFonts w:ascii="Arial Narrow" w:hAnsi="Arial Narrow" w:cs="Arial"/>
                <w:sz w:val="20"/>
              </w:rPr>
              <w:t xml:space="preserve"> grade de la catégorie B (technicien principal de 2</w:t>
            </w:r>
            <w:r w:rsidRPr="00980AA7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>
              <w:rPr>
                <w:rFonts w:ascii="Arial Narrow" w:hAnsi="Arial Narrow" w:cs="Arial"/>
                <w:sz w:val="20"/>
              </w:rPr>
              <w:t xml:space="preserve"> classe, rédacteur principal de 2</w:t>
            </w:r>
            <w:r w:rsidRPr="00980AA7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>
              <w:rPr>
                <w:rFonts w:ascii="Arial Narrow" w:hAnsi="Arial Narrow" w:cs="Arial"/>
                <w:sz w:val="20"/>
              </w:rPr>
              <w:t xml:space="preserve"> classe, …)</w:t>
            </w:r>
          </w:p>
        </w:tc>
        <w:tc>
          <w:tcPr>
            <w:tcW w:w="7597" w:type="dxa"/>
          </w:tcPr>
          <w:p w:rsidR="00135835" w:rsidRPr="002108B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mallCaps/>
                <w:noProof/>
                <w:sz w:val="20"/>
              </w:rPr>
            </w:pPr>
            <w:r w:rsidRPr="002108B5">
              <w:rPr>
                <w:rFonts w:ascii="Arial Narrow" w:hAnsi="Arial Narrow" w:cs="Arial"/>
                <w:smallCaps/>
                <w:noProof/>
                <w:sz w:val="20"/>
              </w:rPr>
              <w:t>I- Classement théorique dans le premier grade en appliquant les régles suivantes :</w:t>
            </w:r>
          </w:p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135835" w:rsidRDefault="00B23D34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rect id="_x0000_s1028" style="position:absolute;left:0;text-align:left;margin-left:258.35pt;margin-top:5.6pt;width:114pt;height:49.5pt;z-index:251662336">
                  <v:textbox style="mso-next-textbox:#_x0000_s1028">
                    <w:txbxContent>
                      <w:p w:rsidR="00135835" w:rsidRPr="002A67F4" w:rsidRDefault="00135835" w:rsidP="00135835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A67F4">
                          <w:rPr>
                            <w:sz w:val="18"/>
                            <w:szCs w:val="18"/>
                          </w:rPr>
                          <w:t>Proratisation</w:t>
                        </w:r>
                        <w:proofErr w:type="spellEnd"/>
                        <w:r w:rsidRPr="002A67F4">
                          <w:rPr>
                            <w:sz w:val="18"/>
                            <w:szCs w:val="18"/>
                          </w:rPr>
                          <w:t xml:space="preserve"> par rapport à 35 heures si les services effectués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sont inférieurs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au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mi-temps.</w:t>
                        </w:r>
                      </w:p>
                    </w:txbxContent>
                  </v:textbox>
                </v:rect>
              </w:pict>
            </w:r>
            <w:r w:rsidR="00135835">
              <w:rPr>
                <w:rFonts w:ascii="Arial Narrow" w:hAnsi="Arial Narrow" w:cs="Arial"/>
                <w:noProof/>
                <w:sz w:val="20"/>
              </w:rPr>
              <w:t>Prise en compte des services accomplis (article 14 décret 2010-329) :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 xml:space="preserve">. dans un emploi de niveau au moins équivalent à celui de la 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catégorie B à raison des trois quarts de leur durée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 xml:space="preserve">. et ceux accomplis dans un emploi de niveau inférieur à raison 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de la moitié de leur durée.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 w:rsidRPr="002108B5">
              <w:rPr>
                <w:rFonts w:ascii="Arial Narrow" w:hAnsi="Arial Narrow" w:cs="Arial"/>
                <w:smallCaps/>
                <w:noProof/>
                <w:sz w:val="20"/>
              </w:rPr>
              <w:t>II- Puis classement dans le deuxieme grade à partir du classement effectué dans le premier grade</w:t>
            </w:r>
            <w:r>
              <w:rPr>
                <w:rFonts w:ascii="Arial Narrow" w:hAnsi="Arial Narrow" w:cs="Arial"/>
                <w:noProof/>
                <w:sz w:val="20"/>
              </w:rPr>
              <w:t> :</w:t>
            </w:r>
          </w:p>
          <w:p w:rsidR="00135835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</w:p>
          <w:p w:rsidR="00135835" w:rsidRPr="00980AA7" w:rsidRDefault="00135835" w:rsidP="00A21A57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noProof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t>Tableau de classement (article 21-II décret 2010-329)</w:t>
            </w:r>
          </w:p>
        </w:tc>
      </w:tr>
      <w:tr w:rsidR="00135835" w:rsidRPr="002108B5" w:rsidTr="00135835">
        <w:trPr>
          <w:jc w:val="center"/>
        </w:trPr>
        <w:tc>
          <w:tcPr>
            <w:tcW w:w="10092" w:type="dxa"/>
            <w:gridSpan w:val="2"/>
            <w:shd w:val="clear" w:color="auto" w:fill="DAFFFF"/>
            <w:vAlign w:val="center"/>
          </w:tcPr>
          <w:p w:rsidR="00135835" w:rsidRPr="002108B5" w:rsidRDefault="00135835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noProof/>
                <w:sz w:val="20"/>
              </w:rPr>
            </w:pPr>
            <w:r w:rsidRPr="002108B5">
              <w:rPr>
                <w:rFonts w:ascii="Arial Narrow" w:hAnsi="Arial Narrow" w:cs="Arial"/>
                <w:b/>
                <w:sz w:val="20"/>
              </w:rPr>
              <w:t>Conservation de la rémunération antérieure</w:t>
            </w:r>
          </w:p>
        </w:tc>
      </w:tr>
      <w:tr w:rsidR="00135835" w:rsidTr="00135835">
        <w:trPr>
          <w:jc w:val="center"/>
        </w:trPr>
        <w:tc>
          <w:tcPr>
            <w:tcW w:w="10092" w:type="dxa"/>
            <w:gridSpan w:val="2"/>
            <w:vAlign w:val="center"/>
          </w:tcPr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 la rémunération antérieure est plus avantageuse que le traitement indiciaire déterminé à l’issue du classement (cf. ci-dessus), possibilité de calculer un I.M le plus proche de 80 % de la rémunération antérieure dans la limite du traitement afférent au dernier échelon du grade de nomination.</w:t>
            </w:r>
          </w:p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La rémunération antérieure à prendre en compte est la rémunération mensuelle c'est-à-dire la moyenne des 6 meilleures rémunérations mensuelles perçues par l’agent dans son dernier emploi au cours des 12 mois précédant la nomination.</w:t>
            </w:r>
          </w:p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</w:p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NB : la rémunération antérieure comprend le traitement de base + les primes. En sont exclus les éléments accessoires liés </w:t>
            </w:r>
            <w:proofErr w:type="gramStart"/>
            <w:r>
              <w:rPr>
                <w:rFonts w:ascii="Arial Narrow" w:hAnsi="Arial Narrow" w:cs="Arial"/>
                <w:sz w:val="20"/>
              </w:rPr>
              <w:t>à la situation familiales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(S.F.T), au lieu de travail (indemnité de résidence) ou au frais de transport.</w:t>
            </w:r>
          </w:p>
        </w:tc>
      </w:tr>
    </w:tbl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Pr="009C617B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Pr="00E51CF3" w:rsidRDefault="00135835" w:rsidP="00FE22B3">
      <w:pPr>
        <w:shd w:val="clear" w:color="auto" w:fill="B8CCE4" w:themeFill="accent1" w:themeFillTint="66"/>
        <w:tabs>
          <w:tab w:val="left" w:pos="709"/>
        </w:tabs>
        <w:ind w:left="-426" w:right="-567"/>
        <w:jc w:val="center"/>
        <w:rPr>
          <w:rFonts w:ascii="Arial" w:hAnsi="Arial" w:cs="Arial"/>
          <w:b/>
          <w:smallCaps/>
          <w:sz w:val="20"/>
        </w:rPr>
      </w:pPr>
      <w:r w:rsidRPr="00E51CF3">
        <w:rPr>
          <w:rFonts w:ascii="Arial" w:hAnsi="Arial" w:cs="Arial"/>
          <w:b/>
          <w:smallCaps/>
          <w:sz w:val="20"/>
        </w:rPr>
        <w:t xml:space="preserve">Classement lors de la nomination dans un grade de catégorie </w:t>
      </w:r>
      <w:r>
        <w:rPr>
          <w:rFonts w:ascii="Arial" w:hAnsi="Arial" w:cs="Arial"/>
          <w:b/>
          <w:smallCaps/>
          <w:sz w:val="20"/>
        </w:rPr>
        <w:t>C</w:t>
      </w:r>
    </w:p>
    <w:p w:rsidR="00135835" w:rsidRPr="009C617B" w:rsidRDefault="00135835" w:rsidP="00FE22B3">
      <w:pPr>
        <w:tabs>
          <w:tab w:val="left" w:pos="284"/>
        </w:tabs>
        <w:ind w:left="-426" w:right="-567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9915" w:type="dxa"/>
        <w:jc w:val="center"/>
        <w:tblInd w:w="-335" w:type="dxa"/>
        <w:tblLook w:val="04A0"/>
      </w:tblPr>
      <w:tblGrid>
        <w:gridCol w:w="9915"/>
      </w:tblGrid>
      <w:tr w:rsidR="00135835" w:rsidRPr="002108B5" w:rsidTr="00FE22B3">
        <w:trPr>
          <w:jc w:val="center"/>
        </w:trPr>
        <w:tc>
          <w:tcPr>
            <w:tcW w:w="9915" w:type="dxa"/>
            <w:shd w:val="clear" w:color="auto" w:fill="DAFFFF"/>
          </w:tcPr>
          <w:p w:rsidR="00135835" w:rsidRPr="002108B5" w:rsidRDefault="00135835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108B5">
              <w:rPr>
                <w:rFonts w:ascii="Arial Narrow" w:hAnsi="Arial Narrow" w:cs="Arial"/>
                <w:b/>
                <w:sz w:val="20"/>
              </w:rPr>
              <w:lastRenderedPageBreak/>
              <w:t>Reprise des services publics</w:t>
            </w:r>
          </w:p>
        </w:tc>
      </w:tr>
      <w:tr w:rsidR="00135835" w:rsidRPr="002108B5" w:rsidTr="00FE22B3">
        <w:trPr>
          <w:trHeight w:val="112"/>
          <w:jc w:val="center"/>
        </w:trPr>
        <w:tc>
          <w:tcPr>
            <w:tcW w:w="9915" w:type="dxa"/>
            <w:shd w:val="clear" w:color="auto" w:fill="auto"/>
          </w:tcPr>
          <w:p w:rsidR="00135835" w:rsidRDefault="00135835" w:rsidP="00A21A57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. reprise des services accomplis à raison des ¾ de la durée</w:t>
            </w:r>
          </w:p>
          <w:p w:rsidR="00135835" w:rsidRPr="002108B5" w:rsidRDefault="00135835" w:rsidP="00A21A57">
            <w:pPr>
              <w:tabs>
                <w:tab w:val="left" w:pos="284"/>
              </w:tabs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. après calcul de conversion en équivalent temps plein, le cas échéant (article 6-1 décret 87-1107)</w:t>
            </w:r>
          </w:p>
        </w:tc>
      </w:tr>
      <w:tr w:rsidR="00135835" w:rsidRPr="002108B5" w:rsidTr="00FE22B3">
        <w:trPr>
          <w:trHeight w:val="112"/>
          <w:jc w:val="center"/>
        </w:trPr>
        <w:tc>
          <w:tcPr>
            <w:tcW w:w="9915" w:type="dxa"/>
            <w:shd w:val="clear" w:color="auto" w:fill="DAFFFF"/>
            <w:vAlign w:val="center"/>
          </w:tcPr>
          <w:p w:rsidR="00135835" w:rsidRPr="002108B5" w:rsidRDefault="00135835" w:rsidP="00A21A57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noProof/>
                <w:sz w:val="20"/>
              </w:rPr>
            </w:pPr>
            <w:r w:rsidRPr="002108B5">
              <w:rPr>
                <w:rFonts w:ascii="Arial Narrow" w:hAnsi="Arial Narrow" w:cs="Arial"/>
                <w:b/>
                <w:sz w:val="20"/>
              </w:rPr>
              <w:t>Conservation de la rémunération antérieure</w:t>
            </w:r>
          </w:p>
        </w:tc>
      </w:tr>
      <w:tr w:rsidR="00135835" w:rsidRPr="002108B5" w:rsidTr="00FE22B3">
        <w:trPr>
          <w:trHeight w:val="500"/>
          <w:jc w:val="center"/>
        </w:trPr>
        <w:tc>
          <w:tcPr>
            <w:tcW w:w="9915" w:type="dxa"/>
            <w:shd w:val="clear" w:color="auto" w:fill="auto"/>
            <w:vAlign w:val="center"/>
          </w:tcPr>
          <w:p w:rsidR="00135835" w:rsidRDefault="00135835" w:rsidP="00A21A5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Conservation à titre personnel du bénéfice du traitement antérieur dans la limite de l’indice brut terminal du cadre d’emplois de nomination.</w:t>
            </w:r>
          </w:p>
        </w:tc>
      </w:tr>
    </w:tbl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135835" w:rsidRDefault="00135835" w:rsidP="00135835">
      <w:pPr>
        <w:tabs>
          <w:tab w:val="left" w:pos="284"/>
        </w:tabs>
        <w:ind w:left="284"/>
        <w:jc w:val="both"/>
        <w:rPr>
          <w:rFonts w:ascii="Arial" w:hAnsi="Arial" w:cs="Arial"/>
          <w:sz w:val="16"/>
        </w:rPr>
      </w:pPr>
    </w:p>
    <w:p w:rsidR="00D53028" w:rsidRDefault="00D53028"/>
    <w:sectPr w:rsidR="00D53028" w:rsidSect="00D5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92C"/>
    <w:multiLevelType w:val="hybridMultilevel"/>
    <w:tmpl w:val="021E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35"/>
    <w:rsid w:val="00010488"/>
    <w:rsid w:val="00011B8F"/>
    <w:rsid w:val="00015C05"/>
    <w:rsid w:val="00015DC6"/>
    <w:rsid w:val="00023273"/>
    <w:rsid w:val="000251FF"/>
    <w:rsid w:val="00027813"/>
    <w:rsid w:val="0003013A"/>
    <w:rsid w:val="00035103"/>
    <w:rsid w:val="00035C1D"/>
    <w:rsid w:val="00036E51"/>
    <w:rsid w:val="00043307"/>
    <w:rsid w:val="00045318"/>
    <w:rsid w:val="00046AC8"/>
    <w:rsid w:val="00047521"/>
    <w:rsid w:val="00051A9F"/>
    <w:rsid w:val="00064670"/>
    <w:rsid w:val="00064781"/>
    <w:rsid w:val="0007013E"/>
    <w:rsid w:val="00071554"/>
    <w:rsid w:val="0007237C"/>
    <w:rsid w:val="000725B4"/>
    <w:rsid w:val="00080183"/>
    <w:rsid w:val="00083B88"/>
    <w:rsid w:val="00083F7F"/>
    <w:rsid w:val="0008401D"/>
    <w:rsid w:val="0008453B"/>
    <w:rsid w:val="00085107"/>
    <w:rsid w:val="0009040E"/>
    <w:rsid w:val="0009569F"/>
    <w:rsid w:val="000A1105"/>
    <w:rsid w:val="000A159B"/>
    <w:rsid w:val="000A1684"/>
    <w:rsid w:val="000A180F"/>
    <w:rsid w:val="000A576F"/>
    <w:rsid w:val="000A64EE"/>
    <w:rsid w:val="000B06D3"/>
    <w:rsid w:val="000B1F8A"/>
    <w:rsid w:val="000B405D"/>
    <w:rsid w:val="000B4D27"/>
    <w:rsid w:val="000B58D2"/>
    <w:rsid w:val="000B5C57"/>
    <w:rsid w:val="000B644F"/>
    <w:rsid w:val="000C08DA"/>
    <w:rsid w:val="000C19BD"/>
    <w:rsid w:val="000C2083"/>
    <w:rsid w:val="000C66C1"/>
    <w:rsid w:val="000D29A4"/>
    <w:rsid w:val="000D4702"/>
    <w:rsid w:val="000D5269"/>
    <w:rsid w:val="000E0EF8"/>
    <w:rsid w:val="000E3770"/>
    <w:rsid w:val="000E3BB2"/>
    <w:rsid w:val="000E4B5C"/>
    <w:rsid w:val="000E561B"/>
    <w:rsid w:val="000F0C23"/>
    <w:rsid w:val="000F1160"/>
    <w:rsid w:val="000F6206"/>
    <w:rsid w:val="0010121B"/>
    <w:rsid w:val="00103E86"/>
    <w:rsid w:val="00105FD9"/>
    <w:rsid w:val="00112088"/>
    <w:rsid w:val="0011248C"/>
    <w:rsid w:val="001214E8"/>
    <w:rsid w:val="00121D12"/>
    <w:rsid w:val="00121E66"/>
    <w:rsid w:val="00124255"/>
    <w:rsid w:val="00124408"/>
    <w:rsid w:val="001269F6"/>
    <w:rsid w:val="00126A88"/>
    <w:rsid w:val="00127192"/>
    <w:rsid w:val="0013094A"/>
    <w:rsid w:val="00132C9F"/>
    <w:rsid w:val="00134CE1"/>
    <w:rsid w:val="00135835"/>
    <w:rsid w:val="00142151"/>
    <w:rsid w:val="00143F6A"/>
    <w:rsid w:val="00144F66"/>
    <w:rsid w:val="0014525F"/>
    <w:rsid w:val="001466A6"/>
    <w:rsid w:val="001526A8"/>
    <w:rsid w:val="00157A4C"/>
    <w:rsid w:val="00164735"/>
    <w:rsid w:val="001649DD"/>
    <w:rsid w:val="00166C49"/>
    <w:rsid w:val="00171AC0"/>
    <w:rsid w:val="0017472D"/>
    <w:rsid w:val="00176B2C"/>
    <w:rsid w:val="001830D2"/>
    <w:rsid w:val="001832FF"/>
    <w:rsid w:val="00185793"/>
    <w:rsid w:val="001870CA"/>
    <w:rsid w:val="00187E97"/>
    <w:rsid w:val="0019467C"/>
    <w:rsid w:val="00196EC0"/>
    <w:rsid w:val="00197FFA"/>
    <w:rsid w:val="001A01A0"/>
    <w:rsid w:val="001A0E59"/>
    <w:rsid w:val="001A489F"/>
    <w:rsid w:val="001B1B85"/>
    <w:rsid w:val="001B5C1C"/>
    <w:rsid w:val="001B60A4"/>
    <w:rsid w:val="001B6F22"/>
    <w:rsid w:val="001B7E29"/>
    <w:rsid w:val="001C0C72"/>
    <w:rsid w:val="001C189B"/>
    <w:rsid w:val="001C3631"/>
    <w:rsid w:val="001C4411"/>
    <w:rsid w:val="001C4DCD"/>
    <w:rsid w:val="001C6837"/>
    <w:rsid w:val="001C7508"/>
    <w:rsid w:val="001D1B71"/>
    <w:rsid w:val="001D6DEC"/>
    <w:rsid w:val="001D7087"/>
    <w:rsid w:val="001E0178"/>
    <w:rsid w:val="001E106B"/>
    <w:rsid w:val="001E741B"/>
    <w:rsid w:val="001F2D13"/>
    <w:rsid w:val="001F6170"/>
    <w:rsid w:val="00203AA0"/>
    <w:rsid w:val="00204432"/>
    <w:rsid w:val="0020508F"/>
    <w:rsid w:val="00205E2B"/>
    <w:rsid w:val="00211E72"/>
    <w:rsid w:val="00212E0E"/>
    <w:rsid w:val="00214EDB"/>
    <w:rsid w:val="002169CB"/>
    <w:rsid w:val="00220704"/>
    <w:rsid w:val="00221CF7"/>
    <w:rsid w:val="0022610F"/>
    <w:rsid w:val="00227545"/>
    <w:rsid w:val="002335AA"/>
    <w:rsid w:val="002377CC"/>
    <w:rsid w:val="00237B12"/>
    <w:rsid w:val="002415A4"/>
    <w:rsid w:val="0024370B"/>
    <w:rsid w:val="002454FF"/>
    <w:rsid w:val="00246182"/>
    <w:rsid w:val="00256D53"/>
    <w:rsid w:val="00257756"/>
    <w:rsid w:val="00261432"/>
    <w:rsid w:val="00262853"/>
    <w:rsid w:val="002639A7"/>
    <w:rsid w:val="00265121"/>
    <w:rsid w:val="002711DF"/>
    <w:rsid w:val="00272512"/>
    <w:rsid w:val="00273C54"/>
    <w:rsid w:val="00276BA5"/>
    <w:rsid w:val="00281293"/>
    <w:rsid w:val="002824E2"/>
    <w:rsid w:val="002831AF"/>
    <w:rsid w:val="002854BA"/>
    <w:rsid w:val="002860FB"/>
    <w:rsid w:val="00294610"/>
    <w:rsid w:val="00297F40"/>
    <w:rsid w:val="002A157B"/>
    <w:rsid w:val="002A770D"/>
    <w:rsid w:val="002B01CA"/>
    <w:rsid w:val="002B0357"/>
    <w:rsid w:val="002B5134"/>
    <w:rsid w:val="002B69E9"/>
    <w:rsid w:val="002C07D3"/>
    <w:rsid w:val="002C24A3"/>
    <w:rsid w:val="002C38A9"/>
    <w:rsid w:val="002C4ED8"/>
    <w:rsid w:val="002C573A"/>
    <w:rsid w:val="002C58ED"/>
    <w:rsid w:val="002C7056"/>
    <w:rsid w:val="002D2418"/>
    <w:rsid w:val="002D5B03"/>
    <w:rsid w:val="002D6DC5"/>
    <w:rsid w:val="002D6F03"/>
    <w:rsid w:val="002D7462"/>
    <w:rsid w:val="002D784F"/>
    <w:rsid w:val="002E0454"/>
    <w:rsid w:val="002E23DF"/>
    <w:rsid w:val="002E33AA"/>
    <w:rsid w:val="002E3C3C"/>
    <w:rsid w:val="002E5517"/>
    <w:rsid w:val="002E6C55"/>
    <w:rsid w:val="002F1701"/>
    <w:rsid w:val="002F499F"/>
    <w:rsid w:val="002F49E1"/>
    <w:rsid w:val="002F5E25"/>
    <w:rsid w:val="002F6055"/>
    <w:rsid w:val="002F743B"/>
    <w:rsid w:val="0030109C"/>
    <w:rsid w:val="00304CB8"/>
    <w:rsid w:val="00307446"/>
    <w:rsid w:val="003132F3"/>
    <w:rsid w:val="00316A95"/>
    <w:rsid w:val="00322856"/>
    <w:rsid w:val="003230CC"/>
    <w:rsid w:val="003304F5"/>
    <w:rsid w:val="003307DB"/>
    <w:rsid w:val="00330F10"/>
    <w:rsid w:val="0033215D"/>
    <w:rsid w:val="00335D0D"/>
    <w:rsid w:val="00341F77"/>
    <w:rsid w:val="0034571D"/>
    <w:rsid w:val="00356C76"/>
    <w:rsid w:val="00356D7F"/>
    <w:rsid w:val="00360A39"/>
    <w:rsid w:val="00361DBC"/>
    <w:rsid w:val="003701C0"/>
    <w:rsid w:val="00370A59"/>
    <w:rsid w:val="00370E70"/>
    <w:rsid w:val="00372D19"/>
    <w:rsid w:val="00374DDE"/>
    <w:rsid w:val="00374ECA"/>
    <w:rsid w:val="0037571D"/>
    <w:rsid w:val="00377ED0"/>
    <w:rsid w:val="00380D7F"/>
    <w:rsid w:val="00381C13"/>
    <w:rsid w:val="00382069"/>
    <w:rsid w:val="00384234"/>
    <w:rsid w:val="00387E9D"/>
    <w:rsid w:val="003A277A"/>
    <w:rsid w:val="003A2AA2"/>
    <w:rsid w:val="003A766B"/>
    <w:rsid w:val="003B05CF"/>
    <w:rsid w:val="003B06D7"/>
    <w:rsid w:val="003B0991"/>
    <w:rsid w:val="003B112B"/>
    <w:rsid w:val="003B32CE"/>
    <w:rsid w:val="003C27A6"/>
    <w:rsid w:val="003C4217"/>
    <w:rsid w:val="003C4A42"/>
    <w:rsid w:val="003E19A7"/>
    <w:rsid w:val="003E2C18"/>
    <w:rsid w:val="003E4A38"/>
    <w:rsid w:val="003E6D22"/>
    <w:rsid w:val="003F02F4"/>
    <w:rsid w:val="003F0416"/>
    <w:rsid w:val="003F0684"/>
    <w:rsid w:val="003F4E00"/>
    <w:rsid w:val="00400310"/>
    <w:rsid w:val="0040094B"/>
    <w:rsid w:val="00401FEC"/>
    <w:rsid w:val="00402CBD"/>
    <w:rsid w:val="00403DDD"/>
    <w:rsid w:val="00403EB8"/>
    <w:rsid w:val="00407FD5"/>
    <w:rsid w:val="004114C7"/>
    <w:rsid w:val="00411B86"/>
    <w:rsid w:val="00413B41"/>
    <w:rsid w:val="0041513C"/>
    <w:rsid w:val="00425A09"/>
    <w:rsid w:val="0042698A"/>
    <w:rsid w:val="004326E0"/>
    <w:rsid w:val="004353F1"/>
    <w:rsid w:val="00440240"/>
    <w:rsid w:val="00450C7E"/>
    <w:rsid w:val="00451587"/>
    <w:rsid w:val="004551C1"/>
    <w:rsid w:val="004558A7"/>
    <w:rsid w:val="00455DC7"/>
    <w:rsid w:val="00457809"/>
    <w:rsid w:val="004647AA"/>
    <w:rsid w:val="00464ADB"/>
    <w:rsid w:val="00465B08"/>
    <w:rsid w:val="00467532"/>
    <w:rsid w:val="00472B25"/>
    <w:rsid w:val="00473E85"/>
    <w:rsid w:val="00475ECA"/>
    <w:rsid w:val="0047767A"/>
    <w:rsid w:val="004777F6"/>
    <w:rsid w:val="004836E1"/>
    <w:rsid w:val="00485CB0"/>
    <w:rsid w:val="00486CE8"/>
    <w:rsid w:val="00487A42"/>
    <w:rsid w:val="004928D2"/>
    <w:rsid w:val="004950B9"/>
    <w:rsid w:val="004A49A1"/>
    <w:rsid w:val="004A6521"/>
    <w:rsid w:val="004B3DA1"/>
    <w:rsid w:val="004C653D"/>
    <w:rsid w:val="004C7991"/>
    <w:rsid w:val="004D53B5"/>
    <w:rsid w:val="004E6D63"/>
    <w:rsid w:val="004F77DE"/>
    <w:rsid w:val="00500C6B"/>
    <w:rsid w:val="00500D4B"/>
    <w:rsid w:val="00501864"/>
    <w:rsid w:val="00504CEE"/>
    <w:rsid w:val="00506799"/>
    <w:rsid w:val="00506AF5"/>
    <w:rsid w:val="00515C07"/>
    <w:rsid w:val="00516F12"/>
    <w:rsid w:val="00517EEF"/>
    <w:rsid w:val="00522E33"/>
    <w:rsid w:val="005240F2"/>
    <w:rsid w:val="005251EB"/>
    <w:rsid w:val="00533571"/>
    <w:rsid w:val="005373DC"/>
    <w:rsid w:val="00541C45"/>
    <w:rsid w:val="00545A8B"/>
    <w:rsid w:val="00545E9E"/>
    <w:rsid w:val="00546C21"/>
    <w:rsid w:val="00547981"/>
    <w:rsid w:val="00550307"/>
    <w:rsid w:val="0055037E"/>
    <w:rsid w:val="00550400"/>
    <w:rsid w:val="005519D2"/>
    <w:rsid w:val="00553F6B"/>
    <w:rsid w:val="0056089C"/>
    <w:rsid w:val="005612EC"/>
    <w:rsid w:val="00576851"/>
    <w:rsid w:val="005810DB"/>
    <w:rsid w:val="005819D0"/>
    <w:rsid w:val="0058355B"/>
    <w:rsid w:val="00584C9D"/>
    <w:rsid w:val="00585BAB"/>
    <w:rsid w:val="00587C0E"/>
    <w:rsid w:val="00594DEB"/>
    <w:rsid w:val="00594FFD"/>
    <w:rsid w:val="005972AC"/>
    <w:rsid w:val="005A3A1F"/>
    <w:rsid w:val="005A45CB"/>
    <w:rsid w:val="005B67BE"/>
    <w:rsid w:val="005B6D91"/>
    <w:rsid w:val="005C582D"/>
    <w:rsid w:val="005D1E24"/>
    <w:rsid w:val="005D444A"/>
    <w:rsid w:val="005D7E25"/>
    <w:rsid w:val="005D7FF1"/>
    <w:rsid w:val="005E3649"/>
    <w:rsid w:val="005E7630"/>
    <w:rsid w:val="005F366C"/>
    <w:rsid w:val="005F494A"/>
    <w:rsid w:val="00602A3A"/>
    <w:rsid w:val="00604DF3"/>
    <w:rsid w:val="00605E2F"/>
    <w:rsid w:val="00607D36"/>
    <w:rsid w:val="0061192E"/>
    <w:rsid w:val="00614573"/>
    <w:rsid w:val="0062212A"/>
    <w:rsid w:val="00622BC6"/>
    <w:rsid w:val="00626FD5"/>
    <w:rsid w:val="00627BE8"/>
    <w:rsid w:val="0063064A"/>
    <w:rsid w:val="00630893"/>
    <w:rsid w:val="00640ABF"/>
    <w:rsid w:val="0064784F"/>
    <w:rsid w:val="00652721"/>
    <w:rsid w:val="0065643D"/>
    <w:rsid w:val="006608FB"/>
    <w:rsid w:val="00661EDD"/>
    <w:rsid w:val="00663181"/>
    <w:rsid w:val="00663211"/>
    <w:rsid w:val="00666043"/>
    <w:rsid w:val="0067016D"/>
    <w:rsid w:val="00673608"/>
    <w:rsid w:val="006743EF"/>
    <w:rsid w:val="0067781F"/>
    <w:rsid w:val="00686E80"/>
    <w:rsid w:val="00687568"/>
    <w:rsid w:val="00690E2B"/>
    <w:rsid w:val="0069215A"/>
    <w:rsid w:val="0069770F"/>
    <w:rsid w:val="00697AF3"/>
    <w:rsid w:val="006A5BE0"/>
    <w:rsid w:val="006A644E"/>
    <w:rsid w:val="006B4F21"/>
    <w:rsid w:val="006B5AF3"/>
    <w:rsid w:val="006B6213"/>
    <w:rsid w:val="006C193B"/>
    <w:rsid w:val="006C5D00"/>
    <w:rsid w:val="006D2B8C"/>
    <w:rsid w:val="006E1F02"/>
    <w:rsid w:val="006E2552"/>
    <w:rsid w:val="006E6233"/>
    <w:rsid w:val="006E7CA6"/>
    <w:rsid w:val="006F2937"/>
    <w:rsid w:val="006F4DAA"/>
    <w:rsid w:val="006F5078"/>
    <w:rsid w:val="00702277"/>
    <w:rsid w:val="00706E6C"/>
    <w:rsid w:val="00710A32"/>
    <w:rsid w:val="007143D3"/>
    <w:rsid w:val="0071622E"/>
    <w:rsid w:val="00720859"/>
    <w:rsid w:val="007208B4"/>
    <w:rsid w:val="007225C7"/>
    <w:rsid w:val="007229D2"/>
    <w:rsid w:val="00724A1E"/>
    <w:rsid w:val="0072589C"/>
    <w:rsid w:val="007260C2"/>
    <w:rsid w:val="0072678A"/>
    <w:rsid w:val="00730519"/>
    <w:rsid w:val="007307AE"/>
    <w:rsid w:val="00731AC1"/>
    <w:rsid w:val="00733412"/>
    <w:rsid w:val="00734B45"/>
    <w:rsid w:val="007350AB"/>
    <w:rsid w:val="00736540"/>
    <w:rsid w:val="00737094"/>
    <w:rsid w:val="007465EA"/>
    <w:rsid w:val="00747170"/>
    <w:rsid w:val="007473FB"/>
    <w:rsid w:val="00750D59"/>
    <w:rsid w:val="00753C29"/>
    <w:rsid w:val="00757B75"/>
    <w:rsid w:val="00757B8A"/>
    <w:rsid w:val="007650CA"/>
    <w:rsid w:val="00765A2F"/>
    <w:rsid w:val="00766B90"/>
    <w:rsid w:val="00776CA3"/>
    <w:rsid w:val="00777F95"/>
    <w:rsid w:val="0078007A"/>
    <w:rsid w:val="00780249"/>
    <w:rsid w:val="00780EC3"/>
    <w:rsid w:val="007924F6"/>
    <w:rsid w:val="00792A04"/>
    <w:rsid w:val="007957C8"/>
    <w:rsid w:val="00796E79"/>
    <w:rsid w:val="007B197C"/>
    <w:rsid w:val="007B6417"/>
    <w:rsid w:val="007B70C1"/>
    <w:rsid w:val="007C692D"/>
    <w:rsid w:val="007C7FAA"/>
    <w:rsid w:val="007D01AB"/>
    <w:rsid w:val="007D0CCA"/>
    <w:rsid w:val="007D4905"/>
    <w:rsid w:val="007D6A64"/>
    <w:rsid w:val="007D6C19"/>
    <w:rsid w:val="007E2D00"/>
    <w:rsid w:val="007E5CDA"/>
    <w:rsid w:val="007F24F2"/>
    <w:rsid w:val="007F321A"/>
    <w:rsid w:val="007F3D1A"/>
    <w:rsid w:val="007F56B0"/>
    <w:rsid w:val="0080532F"/>
    <w:rsid w:val="00805A4C"/>
    <w:rsid w:val="008117E6"/>
    <w:rsid w:val="00817809"/>
    <w:rsid w:val="00825F05"/>
    <w:rsid w:val="0082710D"/>
    <w:rsid w:val="008323A4"/>
    <w:rsid w:val="00832967"/>
    <w:rsid w:val="00835EC3"/>
    <w:rsid w:val="00840B0A"/>
    <w:rsid w:val="008453E7"/>
    <w:rsid w:val="00845E7A"/>
    <w:rsid w:val="0085383B"/>
    <w:rsid w:val="00853F19"/>
    <w:rsid w:val="0085594C"/>
    <w:rsid w:val="008559CE"/>
    <w:rsid w:val="008579C4"/>
    <w:rsid w:val="00863B64"/>
    <w:rsid w:val="00875A13"/>
    <w:rsid w:val="0087765D"/>
    <w:rsid w:val="00883256"/>
    <w:rsid w:val="00884B0F"/>
    <w:rsid w:val="00884C80"/>
    <w:rsid w:val="00886FBD"/>
    <w:rsid w:val="00887B68"/>
    <w:rsid w:val="00887EB9"/>
    <w:rsid w:val="00890AC6"/>
    <w:rsid w:val="00890E04"/>
    <w:rsid w:val="00891591"/>
    <w:rsid w:val="00891C38"/>
    <w:rsid w:val="008942B8"/>
    <w:rsid w:val="008954D9"/>
    <w:rsid w:val="0089647B"/>
    <w:rsid w:val="00896CBC"/>
    <w:rsid w:val="008A31D9"/>
    <w:rsid w:val="008A7A82"/>
    <w:rsid w:val="008B02F6"/>
    <w:rsid w:val="008B2DED"/>
    <w:rsid w:val="008C0490"/>
    <w:rsid w:val="008C485B"/>
    <w:rsid w:val="008C592B"/>
    <w:rsid w:val="008C6FF6"/>
    <w:rsid w:val="008D0768"/>
    <w:rsid w:val="008D16DA"/>
    <w:rsid w:val="008D5DC5"/>
    <w:rsid w:val="008E06A8"/>
    <w:rsid w:val="008E1B8F"/>
    <w:rsid w:val="008E39FF"/>
    <w:rsid w:val="008E3B35"/>
    <w:rsid w:val="008E7FEE"/>
    <w:rsid w:val="008F0C36"/>
    <w:rsid w:val="008F1810"/>
    <w:rsid w:val="008F23A1"/>
    <w:rsid w:val="009051A5"/>
    <w:rsid w:val="00906126"/>
    <w:rsid w:val="00910183"/>
    <w:rsid w:val="0091434C"/>
    <w:rsid w:val="009153D6"/>
    <w:rsid w:val="00915D5F"/>
    <w:rsid w:val="00917EEA"/>
    <w:rsid w:val="009208AA"/>
    <w:rsid w:val="009219A6"/>
    <w:rsid w:val="00924FA6"/>
    <w:rsid w:val="0093002F"/>
    <w:rsid w:val="009300B2"/>
    <w:rsid w:val="009313A6"/>
    <w:rsid w:val="009314C0"/>
    <w:rsid w:val="00932269"/>
    <w:rsid w:val="009324C5"/>
    <w:rsid w:val="00932A26"/>
    <w:rsid w:val="00933FCA"/>
    <w:rsid w:val="009412F1"/>
    <w:rsid w:val="00942126"/>
    <w:rsid w:val="00942AB3"/>
    <w:rsid w:val="00943E5C"/>
    <w:rsid w:val="00945430"/>
    <w:rsid w:val="00955322"/>
    <w:rsid w:val="00956740"/>
    <w:rsid w:val="00960DC4"/>
    <w:rsid w:val="00963277"/>
    <w:rsid w:val="009632C3"/>
    <w:rsid w:val="009651E4"/>
    <w:rsid w:val="0096691F"/>
    <w:rsid w:val="00967CD1"/>
    <w:rsid w:val="009703BF"/>
    <w:rsid w:val="00977ACB"/>
    <w:rsid w:val="009833C0"/>
    <w:rsid w:val="009857BC"/>
    <w:rsid w:val="00986267"/>
    <w:rsid w:val="0099191A"/>
    <w:rsid w:val="009950EB"/>
    <w:rsid w:val="00996D2C"/>
    <w:rsid w:val="00997CD7"/>
    <w:rsid w:val="009A015F"/>
    <w:rsid w:val="009A1A2E"/>
    <w:rsid w:val="009A281F"/>
    <w:rsid w:val="009A4EDE"/>
    <w:rsid w:val="009A7A2A"/>
    <w:rsid w:val="009B305E"/>
    <w:rsid w:val="009B4B1A"/>
    <w:rsid w:val="009C0BF6"/>
    <w:rsid w:val="009C548B"/>
    <w:rsid w:val="009C778F"/>
    <w:rsid w:val="009E0B5A"/>
    <w:rsid w:val="009E5001"/>
    <w:rsid w:val="009E52F7"/>
    <w:rsid w:val="009F02A9"/>
    <w:rsid w:val="009F26B6"/>
    <w:rsid w:val="009F569C"/>
    <w:rsid w:val="00A0118A"/>
    <w:rsid w:val="00A017E7"/>
    <w:rsid w:val="00A11244"/>
    <w:rsid w:val="00A24B5D"/>
    <w:rsid w:val="00A27611"/>
    <w:rsid w:val="00A32355"/>
    <w:rsid w:val="00A32FF0"/>
    <w:rsid w:val="00A375E1"/>
    <w:rsid w:val="00A41C34"/>
    <w:rsid w:val="00A42B36"/>
    <w:rsid w:val="00A43078"/>
    <w:rsid w:val="00A447B1"/>
    <w:rsid w:val="00A5192F"/>
    <w:rsid w:val="00A52678"/>
    <w:rsid w:val="00A5695C"/>
    <w:rsid w:val="00A57594"/>
    <w:rsid w:val="00A57D7A"/>
    <w:rsid w:val="00A605DA"/>
    <w:rsid w:val="00A60B1F"/>
    <w:rsid w:val="00A61005"/>
    <w:rsid w:val="00A61148"/>
    <w:rsid w:val="00A6548F"/>
    <w:rsid w:val="00A659B4"/>
    <w:rsid w:val="00A66D50"/>
    <w:rsid w:val="00A8039E"/>
    <w:rsid w:val="00A8133D"/>
    <w:rsid w:val="00A858EA"/>
    <w:rsid w:val="00A933B6"/>
    <w:rsid w:val="00A9548B"/>
    <w:rsid w:val="00A9710C"/>
    <w:rsid w:val="00AA031A"/>
    <w:rsid w:val="00AA2828"/>
    <w:rsid w:val="00AA3AFB"/>
    <w:rsid w:val="00AB1BD2"/>
    <w:rsid w:val="00AB23F1"/>
    <w:rsid w:val="00AB4659"/>
    <w:rsid w:val="00AB6AEC"/>
    <w:rsid w:val="00AC0188"/>
    <w:rsid w:val="00AC1C4B"/>
    <w:rsid w:val="00AC3863"/>
    <w:rsid w:val="00AC4F23"/>
    <w:rsid w:val="00AC5E4D"/>
    <w:rsid w:val="00AC6B8B"/>
    <w:rsid w:val="00AD14C0"/>
    <w:rsid w:val="00AD3011"/>
    <w:rsid w:val="00AD3E1D"/>
    <w:rsid w:val="00AD5008"/>
    <w:rsid w:val="00AD5748"/>
    <w:rsid w:val="00AD5ADA"/>
    <w:rsid w:val="00AD5FC3"/>
    <w:rsid w:val="00AD67DE"/>
    <w:rsid w:val="00AD6AE5"/>
    <w:rsid w:val="00AE19FB"/>
    <w:rsid w:val="00AE1CF2"/>
    <w:rsid w:val="00AE780D"/>
    <w:rsid w:val="00AF070D"/>
    <w:rsid w:val="00AF1DF6"/>
    <w:rsid w:val="00AF1ECF"/>
    <w:rsid w:val="00AF2301"/>
    <w:rsid w:val="00AF2CCC"/>
    <w:rsid w:val="00AF6350"/>
    <w:rsid w:val="00B0644B"/>
    <w:rsid w:val="00B137C1"/>
    <w:rsid w:val="00B20079"/>
    <w:rsid w:val="00B21724"/>
    <w:rsid w:val="00B23D34"/>
    <w:rsid w:val="00B2555A"/>
    <w:rsid w:val="00B27A86"/>
    <w:rsid w:val="00B32366"/>
    <w:rsid w:val="00B333C2"/>
    <w:rsid w:val="00B37108"/>
    <w:rsid w:val="00B43599"/>
    <w:rsid w:val="00B43913"/>
    <w:rsid w:val="00B43EAE"/>
    <w:rsid w:val="00B52449"/>
    <w:rsid w:val="00B52FD3"/>
    <w:rsid w:val="00B55F1B"/>
    <w:rsid w:val="00B5791D"/>
    <w:rsid w:val="00B57CD1"/>
    <w:rsid w:val="00B6197A"/>
    <w:rsid w:val="00B6218E"/>
    <w:rsid w:val="00B64C11"/>
    <w:rsid w:val="00B66315"/>
    <w:rsid w:val="00B70D43"/>
    <w:rsid w:val="00B7133A"/>
    <w:rsid w:val="00B72DD6"/>
    <w:rsid w:val="00B76EE4"/>
    <w:rsid w:val="00B81A50"/>
    <w:rsid w:val="00B8470B"/>
    <w:rsid w:val="00B878A5"/>
    <w:rsid w:val="00B923EE"/>
    <w:rsid w:val="00B93491"/>
    <w:rsid w:val="00B93915"/>
    <w:rsid w:val="00B93F5E"/>
    <w:rsid w:val="00B946B3"/>
    <w:rsid w:val="00BA26C4"/>
    <w:rsid w:val="00BA35A1"/>
    <w:rsid w:val="00BA52C8"/>
    <w:rsid w:val="00BA6023"/>
    <w:rsid w:val="00BB398C"/>
    <w:rsid w:val="00BB3D21"/>
    <w:rsid w:val="00BB7931"/>
    <w:rsid w:val="00BC001A"/>
    <w:rsid w:val="00BC4257"/>
    <w:rsid w:val="00BC537B"/>
    <w:rsid w:val="00BD1573"/>
    <w:rsid w:val="00BD3ECE"/>
    <w:rsid w:val="00BD4926"/>
    <w:rsid w:val="00BD77DD"/>
    <w:rsid w:val="00BE049E"/>
    <w:rsid w:val="00BE14C5"/>
    <w:rsid w:val="00BE1B61"/>
    <w:rsid w:val="00BE5AB0"/>
    <w:rsid w:val="00BE75C2"/>
    <w:rsid w:val="00BF1FB8"/>
    <w:rsid w:val="00BF43C9"/>
    <w:rsid w:val="00BF64A8"/>
    <w:rsid w:val="00C00A84"/>
    <w:rsid w:val="00C06183"/>
    <w:rsid w:val="00C06D29"/>
    <w:rsid w:val="00C13275"/>
    <w:rsid w:val="00C13AC6"/>
    <w:rsid w:val="00C208D7"/>
    <w:rsid w:val="00C20A6F"/>
    <w:rsid w:val="00C25B7C"/>
    <w:rsid w:val="00C27DA3"/>
    <w:rsid w:val="00C27F7D"/>
    <w:rsid w:val="00C30B48"/>
    <w:rsid w:val="00C32656"/>
    <w:rsid w:val="00C3321B"/>
    <w:rsid w:val="00C3413D"/>
    <w:rsid w:val="00C359AA"/>
    <w:rsid w:val="00C40D3A"/>
    <w:rsid w:val="00C411BC"/>
    <w:rsid w:val="00C43AE4"/>
    <w:rsid w:val="00C57894"/>
    <w:rsid w:val="00C62534"/>
    <w:rsid w:val="00C6450A"/>
    <w:rsid w:val="00C66E99"/>
    <w:rsid w:val="00C7073C"/>
    <w:rsid w:val="00C773E4"/>
    <w:rsid w:val="00C77567"/>
    <w:rsid w:val="00C8163C"/>
    <w:rsid w:val="00C82B8F"/>
    <w:rsid w:val="00C83109"/>
    <w:rsid w:val="00C846AC"/>
    <w:rsid w:val="00C86039"/>
    <w:rsid w:val="00C90B6F"/>
    <w:rsid w:val="00C9384E"/>
    <w:rsid w:val="00C95D05"/>
    <w:rsid w:val="00C97773"/>
    <w:rsid w:val="00CA2576"/>
    <w:rsid w:val="00CA2C43"/>
    <w:rsid w:val="00CA5385"/>
    <w:rsid w:val="00CA53F0"/>
    <w:rsid w:val="00CA610F"/>
    <w:rsid w:val="00CB1DDB"/>
    <w:rsid w:val="00CB646F"/>
    <w:rsid w:val="00CB6C15"/>
    <w:rsid w:val="00CC0FC3"/>
    <w:rsid w:val="00CC3675"/>
    <w:rsid w:val="00CC3A0A"/>
    <w:rsid w:val="00CC558C"/>
    <w:rsid w:val="00CC560F"/>
    <w:rsid w:val="00CC5EEE"/>
    <w:rsid w:val="00CC66FC"/>
    <w:rsid w:val="00CC68A8"/>
    <w:rsid w:val="00CC7BC1"/>
    <w:rsid w:val="00CD2C24"/>
    <w:rsid w:val="00CD3BF9"/>
    <w:rsid w:val="00CD4848"/>
    <w:rsid w:val="00CD5B6F"/>
    <w:rsid w:val="00CE203C"/>
    <w:rsid w:val="00CE5CFA"/>
    <w:rsid w:val="00CF0E11"/>
    <w:rsid w:val="00CF280F"/>
    <w:rsid w:val="00CF4426"/>
    <w:rsid w:val="00CF69FE"/>
    <w:rsid w:val="00CF738D"/>
    <w:rsid w:val="00CF781A"/>
    <w:rsid w:val="00CF79C9"/>
    <w:rsid w:val="00D04C28"/>
    <w:rsid w:val="00D1016A"/>
    <w:rsid w:val="00D20320"/>
    <w:rsid w:val="00D20E0E"/>
    <w:rsid w:val="00D212DD"/>
    <w:rsid w:val="00D26A5C"/>
    <w:rsid w:val="00D27F85"/>
    <w:rsid w:val="00D33162"/>
    <w:rsid w:val="00D3389E"/>
    <w:rsid w:val="00D34FB2"/>
    <w:rsid w:val="00D41438"/>
    <w:rsid w:val="00D41646"/>
    <w:rsid w:val="00D41EEF"/>
    <w:rsid w:val="00D43052"/>
    <w:rsid w:val="00D45D1A"/>
    <w:rsid w:val="00D4796A"/>
    <w:rsid w:val="00D479CD"/>
    <w:rsid w:val="00D53028"/>
    <w:rsid w:val="00D5332D"/>
    <w:rsid w:val="00D53DB8"/>
    <w:rsid w:val="00D53FDF"/>
    <w:rsid w:val="00D560FC"/>
    <w:rsid w:val="00D60FE7"/>
    <w:rsid w:val="00D612F6"/>
    <w:rsid w:val="00D614CE"/>
    <w:rsid w:val="00D61DA8"/>
    <w:rsid w:val="00D625E0"/>
    <w:rsid w:val="00D62C3D"/>
    <w:rsid w:val="00D637C0"/>
    <w:rsid w:val="00D650DA"/>
    <w:rsid w:val="00D66502"/>
    <w:rsid w:val="00D73133"/>
    <w:rsid w:val="00D756A5"/>
    <w:rsid w:val="00D77147"/>
    <w:rsid w:val="00D77CF8"/>
    <w:rsid w:val="00D82144"/>
    <w:rsid w:val="00D84969"/>
    <w:rsid w:val="00D946C4"/>
    <w:rsid w:val="00DA121C"/>
    <w:rsid w:val="00DA4C7E"/>
    <w:rsid w:val="00DB0FAD"/>
    <w:rsid w:val="00DB49C1"/>
    <w:rsid w:val="00DC2FD4"/>
    <w:rsid w:val="00DC77F9"/>
    <w:rsid w:val="00DD0825"/>
    <w:rsid w:val="00DD1604"/>
    <w:rsid w:val="00DD2854"/>
    <w:rsid w:val="00DD6FFE"/>
    <w:rsid w:val="00DE0A2F"/>
    <w:rsid w:val="00DE1392"/>
    <w:rsid w:val="00DE6BCD"/>
    <w:rsid w:val="00DF2A1C"/>
    <w:rsid w:val="00DF435B"/>
    <w:rsid w:val="00DF5FDE"/>
    <w:rsid w:val="00DF6DBD"/>
    <w:rsid w:val="00DF7805"/>
    <w:rsid w:val="00E00EA7"/>
    <w:rsid w:val="00E03270"/>
    <w:rsid w:val="00E11864"/>
    <w:rsid w:val="00E14C00"/>
    <w:rsid w:val="00E16B3E"/>
    <w:rsid w:val="00E16E89"/>
    <w:rsid w:val="00E230DE"/>
    <w:rsid w:val="00E25649"/>
    <w:rsid w:val="00E32072"/>
    <w:rsid w:val="00E423BB"/>
    <w:rsid w:val="00E43B5D"/>
    <w:rsid w:val="00E50B13"/>
    <w:rsid w:val="00E5399A"/>
    <w:rsid w:val="00E54645"/>
    <w:rsid w:val="00E549BC"/>
    <w:rsid w:val="00E571BB"/>
    <w:rsid w:val="00E57E4D"/>
    <w:rsid w:val="00E617CC"/>
    <w:rsid w:val="00E63068"/>
    <w:rsid w:val="00E64646"/>
    <w:rsid w:val="00E67FCD"/>
    <w:rsid w:val="00E70D4E"/>
    <w:rsid w:val="00E71793"/>
    <w:rsid w:val="00E71A2A"/>
    <w:rsid w:val="00E72BC2"/>
    <w:rsid w:val="00E73826"/>
    <w:rsid w:val="00E75805"/>
    <w:rsid w:val="00E777AC"/>
    <w:rsid w:val="00E836D8"/>
    <w:rsid w:val="00E83F05"/>
    <w:rsid w:val="00E87100"/>
    <w:rsid w:val="00E87494"/>
    <w:rsid w:val="00E90C26"/>
    <w:rsid w:val="00EA0067"/>
    <w:rsid w:val="00EA13F5"/>
    <w:rsid w:val="00EA3C45"/>
    <w:rsid w:val="00EA48C8"/>
    <w:rsid w:val="00EB048A"/>
    <w:rsid w:val="00EB5330"/>
    <w:rsid w:val="00EB7BA2"/>
    <w:rsid w:val="00EC1830"/>
    <w:rsid w:val="00EC7BAB"/>
    <w:rsid w:val="00ED1D3D"/>
    <w:rsid w:val="00ED620D"/>
    <w:rsid w:val="00ED6517"/>
    <w:rsid w:val="00ED76EB"/>
    <w:rsid w:val="00ED789C"/>
    <w:rsid w:val="00EE0DBD"/>
    <w:rsid w:val="00EF67CC"/>
    <w:rsid w:val="00F003E8"/>
    <w:rsid w:val="00F009DD"/>
    <w:rsid w:val="00F00B64"/>
    <w:rsid w:val="00F0350D"/>
    <w:rsid w:val="00F03BFF"/>
    <w:rsid w:val="00F10CFE"/>
    <w:rsid w:val="00F135D4"/>
    <w:rsid w:val="00F15955"/>
    <w:rsid w:val="00F172A2"/>
    <w:rsid w:val="00F236F1"/>
    <w:rsid w:val="00F23B1B"/>
    <w:rsid w:val="00F26B54"/>
    <w:rsid w:val="00F31201"/>
    <w:rsid w:val="00F32C39"/>
    <w:rsid w:val="00F33B54"/>
    <w:rsid w:val="00F35EBC"/>
    <w:rsid w:val="00F36AD0"/>
    <w:rsid w:val="00F42A51"/>
    <w:rsid w:val="00F430C7"/>
    <w:rsid w:val="00F464AF"/>
    <w:rsid w:val="00F50362"/>
    <w:rsid w:val="00F50C27"/>
    <w:rsid w:val="00F56BA1"/>
    <w:rsid w:val="00F61C29"/>
    <w:rsid w:val="00F643A7"/>
    <w:rsid w:val="00F67196"/>
    <w:rsid w:val="00F710A6"/>
    <w:rsid w:val="00F73A00"/>
    <w:rsid w:val="00F74CDB"/>
    <w:rsid w:val="00F76649"/>
    <w:rsid w:val="00F7693A"/>
    <w:rsid w:val="00F81F66"/>
    <w:rsid w:val="00F8205E"/>
    <w:rsid w:val="00F8597A"/>
    <w:rsid w:val="00F91E6E"/>
    <w:rsid w:val="00F96BF1"/>
    <w:rsid w:val="00FA0F3C"/>
    <w:rsid w:val="00FA1457"/>
    <w:rsid w:val="00FA5B35"/>
    <w:rsid w:val="00FA7173"/>
    <w:rsid w:val="00FB0D84"/>
    <w:rsid w:val="00FC270F"/>
    <w:rsid w:val="00FC27E0"/>
    <w:rsid w:val="00FC63D6"/>
    <w:rsid w:val="00FD1536"/>
    <w:rsid w:val="00FD5CAA"/>
    <w:rsid w:val="00FD641F"/>
    <w:rsid w:val="00FE22B3"/>
    <w:rsid w:val="00FE4714"/>
    <w:rsid w:val="00FE5E98"/>
    <w:rsid w:val="00FF0363"/>
    <w:rsid w:val="00FF100E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KMaury</cp:lastModifiedBy>
  <cp:revision>6</cp:revision>
  <dcterms:created xsi:type="dcterms:W3CDTF">2013-03-25T09:21:00Z</dcterms:created>
  <dcterms:modified xsi:type="dcterms:W3CDTF">2013-03-25T10:21:00Z</dcterms:modified>
</cp:coreProperties>
</file>